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72"/>
        <w:gridCol w:w="851"/>
        <w:gridCol w:w="4644"/>
      </w:tblGrid>
      <w:tr w:rsidR="00065B1E" w14:paraId="5BE3814A" w14:textId="77777777">
        <w:trPr>
          <w:trHeight w:val="1304"/>
        </w:trPr>
        <w:tc>
          <w:tcPr>
            <w:tcW w:w="3572" w:type="dxa"/>
          </w:tcPr>
          <w:p w14:paraId="2C274EAC" w14:textId="77777777" w:rsidR="00065B1E" w:rsidRDefault="0022135E">
            <w:pPr>
              <w:pStyle w:val="berschrift1"/>
            </w:pPr>
            <w:bookmarkStart w:id="0" w:name="_GoBack"/>
            <w:bookmarkEnd w:id="0"/>
            <w:r>
              <w:rPr>
                <w:noProof/>
                <w:lang w:eastAsia="de-DE"/>
              </w:rPr>
              <w:drawing>
                <wp:anchor distT="0" distB="0" distL="114300" distR="114300" simplePos="0" relativeHeight="251659264" behindDoc="1" locked="0" layoutInCell="1" allowOverlap="1" wp14:anchorId="33A20BE2" wp14:editId="6AAEA5C8">
                  <wp:simplePos x="0" y="0"/>
                  <wp:positionH relativeFrom="page">
                    <wp:posOffset>-40894</wp:posOffset>
                  </wp:positionH>
                  <wp:positionV relativeFrom="page">
                    <wp:posOffset>4674</wp:posOffset>
                  </wp:positionV>
                  <wp:extent cx="2340000" cy="720000"/>
                  <wp:effectExtent l="0" t="0" r="3175" b="4445"/>
                  <wp:wrapNone/>
                  <wp:docPr id="4" name="Grafik 4" descr="D:\Profiles\fuchs\Documents\20210128_Vorlagen\landtag_leitmarke_CMYK_basis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ofiles\fuchs\Documents\20210128_Vorlagen\landtag_leitmarke_CMYK_basis1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51" w:type="dxa"/>
          </w:tcPr>
          <w:p w14:paraId="7B01EAB5" w14:textId="77777777" w:rsidR="00065B1E" w:rsidRDefault="00065B1E"/>
        </w:tc>
        <w:tc>
          <w:tcPr>
            <w:tcW w:w="4644" w:type="dxa"/>
            <w:shd w:val="clear" w:color="auto" w:fill="auto"/>
          </w:tcPr>
          <w:p w14:paraId="139613DF" w14:textId="77777777" w:rsidR="00065B1E" w:rsidRDefault="0022135E">
            <w:pPr>
              <w:pStyle w:val="InfosParlamentspapiere"/>
              <w:rPr>
                <w:b w:val="0"/>
                <w:bCs w:val="0"/>
                <w:w w:val="98"/>
                <w:sz w:val="20"/>
              </w:rPr>
            </w:pPr>
            <w:r>
              <w:rPr>
                <w:b w:val="0"/>
                <w:bCs w:val="0"/>
                <w:w w:val="98"/>
                <w:sz w:val="20"/>
              </w:rPr>
              <w:t>.2024</w:t>
            </w:r>
          </w:p>
          <w:p w14:paraId="7F851E0F" w14:textId="77777777" w:rsidR="00065B1E" w:rsidRDefault="0022135E">
            <w:pPr>
              <w:pStyle w:val="InfosParlamentspapiere"/>
              <w:rPr>
                <w:rFonts w:eastAsia="Times New Roman"/>
                <w:color w:val="000000"/>
              </w:rPr>
            </w:pPr>
            <w:r>
              <w:rPr>
                <w:rFonts w:eastAsia="Times New Roman"/>
                <w:color w:val="000000"/>
              </w:rPr>
              <w:t xml:space="preserve">Drucksache </w:t>
            </w:r>
          </w:p>
          <w:p w14:paraId="30DF33AA" w14:textId="77777777" w:rsidR="00065B1E" w:rsidRDefault="0022135E">
            <w:pPr>
              <w:pStyle w:val="InfosParlamentspapiere"/>
              <w:rPr>
                <w:w w:val="98"/>
              </w:rPr>
            </w:pPr>
            <w:r>
              <w:rPr>
                <w:rFonts w:eastAsia="Times New Roman"/>
                <w:color w:val="000000"/>
              </w:rPr>
              <w:t>8/</w:t>
            </w:r>
          </w:p>
          <w:p w14:paraId="7DCDD14D" w14:textId="77777777" w:rsidR="00065B1E" w:rsidRDefault="00065B1E">
            <w:pPr>
              <w:snapToGrid w:val="0"/>
              <w:contextualSpacing/>
              <w:jc w:val="right"/>
              <w:rPr>
                <w:rFonts w:cs="Calibri"/>
              </w:rPr>
            </w:pPr>
          </w:p>
        </w:tc>
      </w:tr>
      <w:tr w:rsidR="00065B1E" w14:paraId="5D23EF2F" w14:textId="77777777">
        <w:trPr>
          <w:trHeight w:val="1304"/>
        </w:trPr>
        <w:tc>
          <w:tcPr>
            <w:tcW w:w="9067" w:type="dxa"/>
            <w:gridSpan w:val="3"/>
          </w:tcPr>
          <w:p w14:paraId="41E3D9B6" w14:textId="77777777" w:rsidR="00065B1E" w:rsidRDefault="0022135E">
            <w:pPr>
              <w:pStyle w:val="Zusatzinfo"/>
            </w:pPr>
            <w:r>
              <w:t>öffentlich</w:t>
            </w:r>
          </w:p>
        </w:tc>
      </w:tr>
    </w:tbl>
    <w:p w14:paraId="469BD6A2" w14:textId="77777777" w:rsidR="00065B1E" w:rsidRDefault="0022135E">
      <w:pPr>
        <w:pStyle w:val="berschrift1"/>
      </w:pPr>
      <w:r>
        <w:t>Antrag</w:t>
      </w:r>
    </w:p>
    <w:p w14:paraId="6385E8A7" w14:textId="77777777" w:rsidR="00065B1E" w:rsidRDefault="0022135E">
      <w:pPr>
        <w:pStyle w:val="berschrift1"/>
      </w:pPr>
      <w:r>
        <w:t>–</w:t>
      </w:r>
    </w:p>
    <w:p w14:paraId="233B4CC6" w14:textId="77777777" w:rsidR="00065B1E" w:rsidRDefault="00065B1E">
      <w:pPr>
        <w:pStyle w:val="berschrift1"/>
      </w:pPr>
    </w:p>
    <w:p w14:paraId="34FD164E" w14:textId="3F0C9341" w:rsidR="00065B1E" w:rsidRDefault="0022135E">
      <w:pPr>
        <w:pStyle w:val="berschrift2"/>
      </w:pPr>
      <w:r>
        <w:t xml:space="preserve">Fraktion </w:t>
      </w:r>
      <w:r w:rsidR="007C21D9">
        <w:t>DIE LINKE</w:t>
      </w:r>
    </w:p>
    <w:p w14:paraId="75683846" w14:textId="1438010F" w:rsidR="00065B1E" w:rsidRDefault="00065B1E">
      <w:pPr>
        <w:pStyle w:val="berschrift2"/>
      </w:pPr>
    </w:p>
    <w:p w14:paraId="438D5DA3" w14:textId="77777777" w:rsidR="00381F54" w:rsidRDefault="00381F54">
      <w:pPr>
        <w:pStyle w:val="berschrift2"/>
      </w:pPr>
    </w:p>
    <w:p w14:paraId="33A20DEF" w14:textId="2DB98A56" w:rsidR="00E649DB" w:rsidRDefault="00E649DB">
      <w:pPr>
        <w:pStyle w:val="berschrift3"/>
      </w:pPr>
      <w:r>
        <w:t xml:space="preserve">Auskofferung </w:t>
      </w:r>
      <w:r w:rsidR="007C21D9" w:rsidRPr="007C21D9">
        <w:t>der Giftschlammgrube ist nicht verhandelbar</w:t>
      </w:r>
      <w:r>
        <w:t xml:space="preserve"> - bei Weigerung der Neptune Energy</w:t>
      </w:r>
      <w:r w:rsidR="00F37C4C">
        <w:t>,</w:t>
      </w:r>
      <w:r>
        <w:t xml:space="preserve"> keine Eignung </w:t>
      </w:r>
      <w:r w:rsidR="00847577">
        <w:t xml:space="preserve">für </w:t>
      </w:r>
      <w:r>
        <w:t xml:space="preserve">Lithiumabbau </w:t>
      </w:r>
    </w:p>
    <w:p w14:paraId="044BC793" w14:textId="77777777" w:rsidR="00065B1E" w:rsidRDefault="00065B1E">
      <w:pPr>
        <w:pStyle w:val="berschrift3"/>
      </w:pPr>
    </w:p>
    <w:p w14:paraId="6A33F6BE" w14:textId="385A55A6" w:rsidR="00065B1E" w:rsidRDefault="0022135E">
      <w:pPr>
        <w:pStyle w:val="Flietext"/>
      </w:pPr>
      <w:r>
        <w:t>Der Landtag wolle beschließen:</w:t>
      </w:r>
    </w:p>
    <w:p w14:paraId="7C949F30" w14:textId="77777777" w:rsidR="007C21D9" w:rsidRDefault="007C21D9">
      <w:pPr>
        <w:pStyle w:val="Flietext"/>
      </w:pPr>
    </w:p>
    <w:p w14:paraId="54BF9E00" w14:textId="41FCC9BA" w:rsidR="007C21D9" w:rsidRDefault="007C21D9" w:rsidP="007C21D9">
      <w:pPr>
        <w:pStyle w:val="Flietext"/>
        <w:numPr>
          <w:ilvl w:val="0"/>
          <w:numId w:val="18"/>
        </w:numPr>
      </w:pPr>
      <w:r>
        <w:t xml:space="preserve">Der Landtag von Sachsen-Anhalt nimmt zur Kenntnis, dass die für die Entsorgung verantwortliche Neptune Energy laut der von ihr am 15. Mai vorlegten Unterlagen sich weigert, die vom Landesamt für Geologie und Bergwesen (LAGB) </w:t>
      </w:r>
      <w:r w:rsidR="002E1DBA">
        <w:t>beauflagte</w:t>
      </w:r>
      <w:r>
        <w:t xml:space="preserve"> Auskofferung der Giftschlammgrube umzusetzen.</w:t>
      </w:r>
    </w:p>
    <w:p w14:paraId="402DD12A" w14:textId="77777777" w:rsidR="007C21D9" w:rsidRDefault="007C21D9" w:rsidP="007C21D9">
      <w:pPr>
        <w:pStyle w:val="Flietext"/>
      </w:pPr>
    </w:p>
    <w:p w14:paraId="7FE4DB00" w14:textId="19D3BF29" w:rsidR="007C21D9" w:rsidRDefault="007C21D9" w:rsidP="007C21D9">
      <w:pPr>
        <w:pStyle w:val="Flietext"/>
        <w:numPr>
          <w:ilvl w:val="0"/>
          <w:numId w:val="18"/>
        </w:numPr>
      </w:pPr>
      <w:r>
        <w:t>Der Landtag bewertet dieses Vorgehen des Unternehmens als Versuch sich der gesetzlichen Pflicht der Entsorgung zu entziehen. Ein solches Unternehmen erweckt erhebliche Zweifel an seiner Eignung</w:t>
      </w:r>
      <w:r w:rsidR="00F37C4C">
        <w:t>,</w:t>
      </w:r>
      <w:r>
        <w:t xml:space="preserve"> in der gleichen Region den Abbau von Lithiumvorkommen sachgerecht und gesetzeskonform umzusetzen.</w:t>
      </w:r>
    </w:p>
    <w:p w14:paraId="09B290DB" w14:textId="77777777" w:rsidR="007C21D9" w:rsidRDefault="007C21D9" w:rsidP="007C21D9">
      <w:pPr>
        <w:pStyle w:val="Listenabsatz"/>
      </w:pPr>
    </w:p>
    <w:p w14:paraId="0B9D47C1" w14:textId="32A8CDBD" w:rsidR="007C21D9" w:rsidRDefault="007C21D9" w:rsidP="007C21D9">
      <w:pPr>
        <w:pStyle w:val="Flietext"/>
        <w:numPr>
          <w:ilvl w:val="0"/>
          <w:numId w:val="18"/>
        </w:numPr>
      </w:pPr>
      <w:r>
        <w:t xml:space="preserve">Der Landtag fordert die Landesregierung auf, die unverzügliche und vollständige Auskofferung der Giftschlammgrube </w:t>
      </w:r>
      <w:proofErr w:type="spellStart"/>
      <w:r>
        <w:t>Brüchau</w:t>
      </w:r>
      <w:proofErr w:type="spellEnd"/>
      <w:r>
        <w:t xml:space="preserve"> in die Wege zu leiten und eine Stilllegung durch Abdecken weiterhin nicht zu bewilligen.</w:t>
      </w:r>
    </w:p>
    <w:p w14:paraId="2BD67D9F" w14:textId="77777777" w:rsidR="007C21D9" w:rsidRDefault="007C21D9" w:rsidP="007C21D9">
      <w:pPr>
        <w:pStyle w:val="Listenabsatz"/>
      </w:pPr>
    </w:p>
    <w:p w14:paraId="2D5BFB69" w14:textId="1680CD59" w:rsidR="007C21D9" w:rsidRDefault="007C21D9" w:rsidP="007C21D9">
      <w:pPr>
        <w:pStyle w:val="Flietext"/>
        <w:numPr>
          <w:ilvl w:val="0"/>
          <w:numId w:val="18"/>
        </w:numPr>
      </w:pPr>
      <w:r>
        <w:t>Der Landtag fordert die Landesregierung auf, dafür Sorge zu tragen, dass das Erdgas-Unternehmen Neptune Energy</w:t>
      </w:r>
    </w:p>
    <w:p w14:paraId="3CC8B673" w14:textId="43CB87A0" w:rsidR="007C21D9" w:rsidRDefault="007C21D9" w:rsidP="007C21D9">
      <w:pPr>
        <w:pStyle w:val="Flietext"/>
        <w:numPr>
          <w:ilvl w:val="0"/>
          <w:numId w:val="19"/>
        </w:numPr>
        <w:ind w:left="1701"/>
      </w:pPr>
      <w:r>
        <w:t>den Abschlussbetriebsplan und den vorgegebenen Zeitplan einhält</w:t>
      </w:r>
      <w:r w:rsidR="00F37C4C">
        <w:t>;</w:t>
      </w:r>
    </w:p>
    <w:p w14:paraId="7B0C30B1" w14:textId="721EEB2D" w:rsidR="007C21D9" w:rsidRDefault="007C21D9" w:rsidP="007C21D9">
      <w:pPr>
        <w:pStyle w:val="Flietext"/>
        <w:numPr>
          <w:ilvl w:val="0"/>
          <w:numId w:val="19"/>
        </w:numPr>
        <w:ind w:left="1701"/>
      </w:pPr>
      <w:r>
        <w:t>die Entsorgungswege offenlegt, wohin die Giftstoffe verbracht werden</w:t>
      </w:r>
      <w:r w:rsidR="00F37C4C">
        <w:t>;</w:t>
      </w:r>
    </w:p>
    <w:p w14:paraId="1DB4EB1E" w14:textId="27310653" w:rsidR="007C21D9" w:rsidRDefault="007C21D9" w:rsidP="007C21D9">
      <w:pPr>
        <w:pStyle w:val="Flietext"/>
        <w:numPr>
          <w:ilvl w:val="0"/>
          <w:numId w:val="19"/>
        </w:numPr>
        <w:ind w:left="1701"/>
      </w:pPr>
      <w:r>
        <w:t>bei seinen Tätigkeiten in der Altmark durch ein unabhängiges Ingenieurbüro regelmäßig mit stichprobenartigen Kontrollterminen überprüft wird</w:t>
      </w:r>
      <w:r w:rsidR="00F37C4C">
        <w:t>;</w:t>
      </w:r>
    </w:p>
    <w:p w14:paraId="668DB488" w14:textId="3E73F616" w:rsidR="00065B1E" w:rsidRDefault="007C21D9" w:rsidP="007C21D9">
      <w:pPr>
        <w:pStyle w:val="Flietext"/>
        <w:numPr>
          <w:ilvl w:val="0"/>
          <w:numId w:val="19"/>
        </w:numPr>
        <w:ind w:left="1701"/>
      </w:pPr>
      <w:r>
        <w:t>die kommunalen Gremien der Stadt Kalbe</w:t>
      </w:r>
      <w:r w:rsidR="00F37C4C">
        <w:t xml:space="preserve"> </w:t>
      </w:r>
      <w:r>
        <w:t xml:space="preserve">(Milde) und des Altmarkkreises Salzwedel sowie die Öffentlichkeit regelmäßig über den Fortgang </w:t>
      </w:r>
      <w:r w:rsidR="00F37C4C">
        <w:t xml:space="preserve">und </w:t>
      </w:r>
      <w:r>
        <w:t>den Stand der Entsorgung unterrichtet</w:t>
      </w:r>
      <w:r w:rsidR="00F37C4C">
        <w:t xml:space="preserve"> werden</w:t>
      </w:r>
      <w:r>
        <w:t>.</w:t>
      </w:r>
    </w:p>
    <w:p w14:paraId="2BB66884" w14:textId="214E111B" w:rsidR="007C21D9" w:rsidRDefault="007C21D9">
      <w:pPr>
        <w:pStyle w:val="berschrift4"/>
      </w:pPr>
    </w:p>
    <w:p w14:paraId="4AF2F8F2" w14:textId="77777777" w:rsidR="00381F54" w:rsidRPr="00381F54" w:rsidRDefault="00381F54" w:rsidP="00381F54">
      <w:pPr>
        <w:pStyle w:val="Flietext"/>
      </w:pPr>
    </w:p>
    <w:p w14:paraId="5804D809" w14:textId="50F03F3A" w:rsidR="00065B1E" w:rsidRDefault="0022135E">
      <w:pPr>
        <w:pStyle w:val="berschrift4"/>
      </w:pPr>
      <w:r>
        <w:lastRenderedPageBreak/>
        <w:t>Begründung</w:t>
      </w:r>
    </w:p>
    <w:p w14:paraId="208BDB07" w14:textId="0C41D2F7" w:rsidR="00A5629A" w:rsidRDefault="007C21D9">
      <w:pPr>
        <w:pStyle w:val="Flietext"/>
      </w:pPr>
      <w:r>
        <w:t>Trotz eindeutiger Auflagen des LAGB gegenüber der Neptune Energy weigert sich das Unternehmen mit der von ihr am 15.052024 vorgelegten Durchführungsplanung, die beauftragte Auskofferung der Giftschlammgrube vorzunehmen</w:t>
      </w:r>
      <w:r w:rsidR="00F37C4C">
        <w:t>, mit der Begründung</w:t>
      </w:r>
      <w:r>
        <w:t>: „…obwohl die Vollauskofferung zu seiner Zeit</w:t>
      </w:r>
      <w:r w:rsidR="00A5629A">
        <w:t>,</w:t>
      </w:r>
      <w:r>
        <w:t xml:space="preserve"> aber auch noch zum heutigen Stichtag, mangels genehmigter Entsorgungswege nicht möglich und fachlich weiterhin nicht erforderlich ist“ (Durchführungsplanung Neptune Energy</w:t>
      </w:r>
      <w:r w:rsidR="00F37C4C">
        <w:t>,</w:t>
      </w:r>
      <w:r>
        <w:t xml:space="preserve"> S.8)</w:t>
      </w:r>
      <w:r w:rsidR="00A5629A">
        <w:t>.</w:t>
      </w:r>
    </w:p>
    <w:p w14:paraId="4CE0B1DA" w14:textId="4F8B7BEB" w:rsidR="00065B1E" w:rsidRDefault="007C21D9">
      <w:pPr>
        <w:pStyle w:val="Flietext"/>
      </w:pPr>
      <w:r>
        <w:t>Das LAGB hat aufgrund seiner fachlichen Expertise jedoch eine Auskofferung zwingend vorgeschrieben, dies beinhaltet auch die Möglichkeit der Entsorgung. Die Einwände des Unternehmens entsprechen vielmehr dem Versuch</w:t>
      </w:r>
      <w:r w:rsidR="00F37C4C">
        <w:t>,</w:t>
      </w:r>
      <w:r>
        <w:t xml:space="preserve"> die Nachfolgekosten ihrer wirtschaft</w:t>
      </w:r>
      <w:r w:rsidR="00A5629A">
        <w:t>l</w:t>
      </w:r>
      <w:r>
        <w:t>ichen Tätigkeit in der Region auf die G</w:t>
      </w:r>
      <w:r w:rsidR="00A5629A">
        <w:t>esell</w:t>
      </w:r>
      <w:r>
        <w:t xml:space="preserve">schaft zu übertragen sowie die </w:t>
      </w:r>
      <w:r w:rsidR="00A5629A">
        <w:t>M</w:t>
      </w:r>
      <w:r>
        <w:t>enschen in der Region mit den gesundheitlichen Folgen einer fehlenden Auskofferung alleine zu lassen. Dies muss die L</w:t>
      </w:r>
      <w:r w:rsidR="00F37C4C">
        <w:t>andesregierung</w:t>
      </w:r>
      <w:r>
        <w:t xml:space="preserve"> durch entschied</w:t>
      </w:r>
      <w:r w:rsidR="00A5629A">
        <w:t>enes</w:t>
      </w:r>
      <w:r>
        <w:t xml:space="preserve"> exekutives Handeln unterbinden. </w:t>
      </w:r>
    </w:p>
    <w:p w14:paraId="6313D734" w14:textId="77777777" w:rsidR="00065B1E" w:rsidRDefault="00065B1E">
      <w:pPr>
        <w:pStyle w:val="Flietext"/>
      </w:pPr>
    </w:p>
    <w:p w14:paraId="0B33CC05" w14:textId="197A90C1" w:rsidR="00065B1E" w:rsidRDefault="00065B1E">
      <w:pPr>
        <w:pStyle w:val="Flietext"/>
      </w:pPr>
    </w:p>
    <w:p w14:paraId="0E0FFD9B" w14:textId="77777777" w:rsidR="00E649DB" w:rsidRDefault="00E649DB">
      <w:pPr>
        <w:pStyle w:val="Flietext"/>
      </w:pPr>
    </w:p>
    <w:p w14:paraId="5D26A565" w14:textId="77777777" w:rsidR="00065B1E" w:rsidRDefault="0022135E">
      <w:pPr>
        <w:pStyle w:val="Flietext"/>
      </w:pPr>
      <w:r>
        <w:t>Fraktionsvorsitz</w:t>
      </w:r>
    </w:p>
    <w:p w14:paraId="2EA3FBC5" w14:textId="77777777" w:rsidR="00065B1E" w:rsidRDefault="00065B1E">
      <w:pPr>
        <w:spacing w:line="240" w:lineRule="auto"/>
        <w:rPr>
          <w:rFonts w:cs="Calibri"/>
          <w:szCs w:val="22"/>
        </w:rPr>
      </w:pPr>
    </w:p>
    <w:p w14:paraId="63FE7381" w14:textId="77777777" w:rsidR="00065B1E" w:rsidRDefault="00065B1E">
      <w:pPr>
        <w:pStyle w:val="Flietext"/>
      </w:pPr>
    </w:p>
    <w:sectPr w:rsidR="00065B1E">
      <w:headerReference w:type="even" r:id="rId9"/>
      <w:headerReference w:type="default" r:id="rId10"/>
      <w:footerReference w:type="even" r:id="rId11"/>
      <w:footerReference w:type="default" r:id="rId12"/>
      <w:headerReference w:type="first" r:id="rId13"/>
      <w:footerReference w:type="first" r:id="rId14"/>
      <w:pgSz w:w="11900" w:h="16840" w:code="9"/>
      <w:pgMar w:top="567" w:right="1418" w:bottom="1418" w:left="1418"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42197" w14:textId="77777777" w:rsidR="00AE0E04" w:rsidRDefault="00AE0E04">
      <w:r>
        <w:separator/>
      </w:r>
    </w:p>
  </w:endnote>
  <w:endnote w:type="continuationSeparator" w:id="0">
    <w:p w14:paraId="152319AC" w14:textId="77777777" w:rsidR="00AE0E04" w:rsidRDefault="00AE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Überschriften">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B123F" w14:textId="77777777" w:rsidR="00065B1E" w:rsidRDefault="00065B1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B1D23" w14:textId="77777777" w:rsidR="00065B1E" w:rsidRDefault="00065B1E">
    <w:pPr>
      <w:tabs>
        <w:tab w:val="right" w:pos="9071"/>
      </w:tabs>
      <w:autoSpaceDE w:val="0"/>
      <w:autoSpaceDN w:val="0"/>
      <w:adjustRightInd w:val="0"/>
      <w:spacing w:after="57"/>
      <w:textAlignment w:val="center"/>
      <w:rPr>
        <w:rFonts w:eastAsiaTheme="minorHAnsi" w:cs="Calibri"/>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BC1D" w14:textId="77777777" w:rsidR="00065B1E" w:rsidRDefault="0022135E">
    <w:pPr>
      <w:pStyle w:val="Fuzeile"/>
      <w:rPr>
        <w:rFonts w:eastAsia="Calibri" w:cs="Calibri"/>
        <w:color w:val="000000"/>
        <w:szCs w:val="20"/>
      </w:rPr>
    </w:pPr>
    <w:r>
      <w:rPr>
        <w:rFonts w:eastAsia="Calibri" w:cs="Calibri"/>
        <w:color w:val="000000"/>
        <w:szCs w:val="20"/>
      </w:rPr>
      <w:t>(Ausgegeben am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C95D5" w14:textId="77777777" w:rsidR="00AE0E04" w:rsidRDefault="00AE0E04">
      <w:r>
        <w:separator/>
      </w:r>
    </w:p>
  </w:footnote>
  <w:footnote w:type="continuationSeparator" w:id="0">
    <w:p w14:paraId="236A7F9F" w14:textId="77777777" w:rsidR="00AE0E04" w:rsidRDefault="00AE0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sz w:val="18"/>
        <w:szCs w:val="18"/>
      </w:rPr>
      <w:id w:val="-888254612"/>
      <w:docPartObj>
        <w:docPartGallery w:val="Page Numbers (Top of Page)"/>
        <w:docPartUnique/>
      </w:docPartObj>
    </w:sdtPr>
    <w:sdtEndPr>
      <w:rPr>
        <w:rStyle w:val="Seitenzahl"/>
        <w:sz w:val="20"/>
        <w:szCs w:val="20"/>
      </w:rPr>
    </w:sdtEndPr>
    <w:sdtContent>
      <w:p w14:paraId="2889D7A2" w14:textId="77777777" w:rsidR="00065B1E" w:rsidRDefault="0022135E">
        <w:pPr>
          <w:framePr w:wrap="around" w:vAnchor="page" w:hAnchor="page" w:xAlign="center" w:y="840"/>
          <w:rPr>
            <w:rStyle w:val="Seitenzahl"/>
            <w:szCs w:val="20"/>
          </w:rPr>
        </w:pPr>
        <w:r>
          <w:rPr>
            <w:rStyle w:val="Seitenzahl"/>
            <w:szCs w:val="20"/>
          </w:rPr>
          <w:fldChar w:fldCharType="begin"/>
        </w:r>
        <w:r>
          <w:rPr>
            <w:rStyle w:val="Seitenzahl"/>
            <w:szCs w:val="20"/>
          </w:rPr>
          <w:instrText xml:space="preserve"> PAGE </w:instrText>
        </w:r>
        <w:r>
          <w:rPr>
            <w:rStyle w:val="Seitenzahl"/>
            <w:szCs w:val="20"/>
          </w:rPr>
          <w:fldChar w:fldCharType="separate"/>
        </w:r>
        <w:r>
          <w:rPr>
            <w:rStyle w:val="Seitenzahl"/>
            <w:noProof/>
            <w:szCs w:val="20"/>
          </w:rPr>
          <w:t>2</w:t>
        </w:r>
        <w:r>
          <w:rPr>
            <w:rStyle w:val="Seitenzahl"/>
            <w:szCs w:val="20"/>
          </w:rPr>
          <w:fldChar w:fldCharType="end"/>
        </w:r>
      </w:p>
    </w:sdtContent>
  </w:sdt>
  <w:p w14:paraId="4B223818" w14:textId="77777777" w:rsidR="00065B1E" w:rsidRDefault="0022135E">
    <w:pPr>
      <w:pStyle w:val="Kopfzeile"/>
      <w:jc w:val="right"/>
    </w:pPr>
    <w:r>
      <w:rPr>
        <w:noProof/>
        <w:lang w:eastAsia="de-DE"/>
      </w:rPr>
      <mc:AlternateContent>
        <mc:Choice Requires="wps">
          <w:drawing>
            <wp:anchor distT="0" distB="0" distL="114300" distR="114300" simplePos="0" relativeHeight="251670528" behindDoc="0" locked="0" layoutInCell="1" allowOverlap="1" wp14:anchorId="7CB928AB" wp14:editId="665A24CD">
              <wp:simplePos x="0" y="0"/>
              <wp:positionH relativeFrom="page">
                <wp:posOffset>900430</wp:posOffset>
              </wp:positionH>
              <wp:positionV relativeFrom="page">
                <wp:posOffset>683895</wp:posOffset>
              </wp:positionV>
              <wp:extent cx="5760000" cy="0"/>
              <wp:effectExtent l="0" t="0" r="6350" b="12700"/>
              <wp:wrapNone/>
              <wp:docPr id="22" name="Gerade Verbindung 2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8B8D6A" id="Gerade Verbindung 22" o:spid="_x0000_s1026"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0.9pt,53.85pt" to="524.4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" strokecolor="black [3200]" strokeweight=".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sz w:val="18"/>
        <w:szCs w:val="18"/>
      </w:rPr>
      <w:id w:val="1841196573"/>
      <w:docPartObj>
        <w:docPartGallery w:val="Page Numbers (Top of Page)"/>
        <w:docPartUnique/>
      </w:docPartObj>
    </w:sdtPr>
    <w:sdtEndPr>
      <w:rPr>
        <w:rStyle w:val="Seitenzahl"/>
        <w:sz w:val="20"/>
        <w:szCs w:val="20"/>
      </w:rPr>
    </w:sdtEndPr>
    <w:sdtContent>
      <w:p w14:paraId="6AA23D18" w14:textId="77777777" w:rsidR="00065B1E" w:rsidRDefault="0022135E">
        <w:pPr>
          <w:framePr w:wrap="around" w:vAnchor="page" w:hAnchor="page" w:xAlign="center" w:y="823"/>
          <w:jc w:val="center"/>
          <w:rPr>
            <w:rStyle w:val="Seitenzahl"/>
            <w:szCs w:val="20"/>
          </w:rPr>
        </w:pPr>
        <w:r>
          <w:rPr>
            <w:rStyle w:val="Seitenzahl"/>
            <w:szCs w:val="20"/>
          </w:rPr>
          <w:fldChar w:fldCharType="begin"/>
        </w:r>
        <w:r>
          <w:rPr>
            <w:rStyle w:val="Seitenzahl"/>
            <w:szCs w:val="20"/>
          </w:rPr>
          <w:instrText xml:space="preserve"> PAGE </w:instrText>
        </w:r>
        <w:r>
          <w:rPr>
            <w:rStyle w:val="Seitenzahl"/>
            <w:szCs w:val="20"/>
          </w:rPr>
          <w:fldChar w:fldCharType="separate"/>
        </w:r>
        <w:r>
          <w:rPr>
            <w:rStyle w:val="Seitenzahl"/>
            <w:noProof/>
            <w:szCs w:val="20"/>
          </w:rPr>
          <w:t>2</w:t>
        </w:r>
        <w:r>
          <w:rPr>
            <w:rStyle w:val="Seitenzahl"/>
            <w:szCs w:val="20"/>
          </w:rPr>
          <w:fldChar w:fldCharType="end"/>
        </w:r>
      </w:p>
    </w:sdtContent>
  </w:sdt>
  <w:p w14:paraId="6D0EA466" w14:textId="77777777" w:rsidR="00065B1E" w:rsidRDefault="0022135E">
    <w:pPr>
      <w:pStyle w:val="Kopfzeile"/>
    </w:pPr>
    <w:r>
      <w:rPr>
        <w:noProof/>
        <w:lang w:eastAsia="de-DE"/>
      </w:rPr>
      <mc:AlternateContent>
        <mc:Choice Requires="wps">
          <w:drawing>
            <wp:anchor distT="0" distB="0" distL="114300" distR="114300" simplePos="0" relativeHeight="251667456" behindDoc="0" locked="0" layoutInCell="1" allowOverlap="1" wp14:anchorId="2B42AFE7" wp14:editId="38630C2E">
              <wp:simplePos x="0" y="0"/>
              <wp:positionH relativeFrom="page">
                <wp:posOffset>900430</wp:posOffset>
              </wp:positionH>
              <wp:positionV relativeFrom="page">
                <wp:posOffset>683895</wp:posOffset>
              </wp:positionV>
              <wp:extent cx="5760000" cy="0"/>
              <wp:effectExtent l="0" t="0" r="6350" b="12700"/>
              <wp:wrapNone/>
              <wp:docPr id="11" name="Gerade Verbindung 11"/>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BB3699" id="Gerade Verbindung 11" o:spid="_x0000_s1026" style="position:absolute;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0.9pt,53.85pt" to="524.4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" strokecolor="black [3200]" strokeweight=".5pt">
              <v:stroke joinstyle="miter"/>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CCF39" w14:textId="77777777" w:rsidR="00065B1E" w:rsidRDefault="0022135E">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26A0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9EB3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C812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D85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D4C2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785B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1621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D285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86E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5051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0073D"/>
    <w:multiLevelType w:val="hybridMultilevel"/>
    <w:tmpl w:val="E034E9CA"/>
    <w:lvl w:ilvl="0" w:tplc="FFCE1ACE">
      <w:start w:val="1"/>
      <w:numFmt w:val="decimal"/>
      <w:lvlText w:val="%1."/>
      <w:lvlJc w:val="left"/>
      <w:pPr>
        <w:ind w:left="720" w:hanging="360"/>
      </w:pPr>
    </w:lvl>
    <w:lvl w:ilvl="1" w:tplc="9BDA6E6C">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27134B0"/>
    <w:multiLevelType w:val="hybridMultilevel"/>
    <w:tmpl w:val="EA02F868"/>
    <w:lvl w:ilvl="0" w:tplc="9494816E">
      <w:start w:val="1"/>
      <w:numFmt w:val="ordin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DD4095A"/>
    <w:multiLevelType w:val="hybridMultilevel"/>
    <w:tmpl w:val="E618AF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D5C5E08"/>
    <w:multiLevelType w:val="hybridMultilevel"/>
    <w:tmpl w:val="DFF0A7AC"/>
    <w:lvl w:ilvl="0" w:tplc="18B2A51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E53705A"/>
    <w:multiLevelType w:val="multilevel"/>
    <w:tmpl w:val="405A11B8"/>
    <w:lvl w:ilvl="0">
      <w:start w:val="1"/>
      <w:numFmt w:val="decimal"/>
      <w:lvlText w:val="%1."/>
      <w:lvlJc w:val="left"/>
      <w:pPr>
        <w:ind w:left="425" w:hanging="425"/>
      </w:pPr>
      <w:rPr>
        <w:rFonts w:ascii="Calibri" w:hAnsi="Calibri" w:hint="default"/>
        <w:sz w:val="24"/>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5" w15:restartNumberingAfterBreak="0">
    <w:nsid w:val="538E36BA"/>
    <w:multiLevelType w:val="multilevel"/>
    <w:tmpl w:val="292009E4"/>
    <w:styleLink w:val="AufzhlungLT"/>
    <w:lvl w:ilvl="0">
      <w:start w:val="1"/>
      <w:numFmt w:val="decimal"/>
      <w:pStyle w:val="Aufzhlungen"/>
      <w:lvlText w:val="%1."/>
      <w:lvlJc w:val="left"/>
      <w:pPr>
        <w:ind w:left="425" w:hanging="425"/>
      </w:pPr>
      <w:rPr>
        <w:rFonts w:ascii="Calibri" w:hAnsi="Calibri" w:hint="default"/>
        <w:sz w:val="24"/>
      </w:rPr>
    </w:lvl>
    <w:lvl w:ilvl="1">
      <w:start w:val="1"/>
      <w:numFmt w:val="lowerLetter"/>
      <w:lvlText w:val="%2."/>
      <w:lvlJc w:val="left"/>
      <w:pPr>
        <w:ind w:left="850" w:hanging="425"/>
      </w:pPr>
      <w:rPr>
        <w:rFonts w:hint="default"/>
        <w:sz w:val="24"/>
      </w:rPr>
    </w:lvl>
    <w:lvl w:ilvl="2">
      <w:start w:val="1"/>
      <w:numFmt w:val="lowerLetter"/>
      <w:lvlText w:val="%2%3."/>
      <w:lvlJc w:val="left"/>
      <w:pPr>
        <w:ind w:left="1275" w:hanging="425"/>
      </w:pPr>
      <w:rPr>
        <w:rFonts w:hint="default"/>
        <w:sz w:val="24"/>
      </w:rPr>
    </w:lvl>
    <w:lvl w:ilvl="3">
      <w:start w:val="1"/>
      <w:numFmt w:val="lowerLetter"/>
      <w:lvlText w:val="%2%3%4."/>
      <w:lvlJc w:val="left"/>
      <w:pPr>
        <w:ind w:left="1700" w:hanging="425"/>
      </w:pPr>
      <w:rPr>
        <w:rFonts w:hint="default"/>
        <w:sz w:val="24"/>
      </w:rPr>
    </w:lvl>
    <w:lvl w:ilvl="4">
      <w:start w:val="1"/>
      <w:numFmt w:val="lowerLetter"/>
      <w:lvlText w:val="%2%3%4%5."/>
      <w:lvlJc w:val="left"/>
      <w:pPr>
        <w:ind w:left="2125" w:hanging="425"/>
      </w:pPr>
      <w:rPr>
        <w:rFonts w:hint="default"/>
        <w:sz w:val="24"/>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6" w15:restartNumberingAfterBreak="0">
    <w:nsid w:val="661B73BD"/>
    <w:multiLevelType w:val="hybridMultilevel"/>
    <w:tmpl w:val="E684FB7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F8810E1"/>
    <w:multiLevelType w:val="hybridMultilevel"/>
    <w:tmpl w:val="1D1E89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16C163A"/>
    <w:multiLevelType w:val="hybridMultilevel"/>
    <w:tmpl w:val="990E475A"/>
    <w:lvl w:ilvl="0" w:tplc="0A2CBB0E">
      <w:start w:val="1"/>
      <w:numFmt w:val="lowerLetter"/>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A015055"/>
    <w:multiLevelType w:val="multilevel"/>
    <w:tmpl w:val="405A11B8"/>
    <w:lvl w:ilvl="0">
      <w:start w:val="1"/>
      <w:numFmt w:val="decimal"/>
      <w:lvlText w:val="%1."/>
      <w:lvlJc w:val="left"/>
      <w:pPr>
        <w:ind w:left="425" w:hanging="425"/>
      </w:pPr>
      <w:rPr>
        <w:rFonts w:ascii="Calibri" w:hAnsi="Calibri" w:hint="default"/>
        <w:sz w:val="24"/>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num w:numId="1">
    <w:abstractNumId w:val="13"/>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1"/>
  </w:num>
  <w:num w:numId="17">
    <w:abstractNumId w:val="15"/>
  </w:num>
  <w:num w:numId="18">
    <w:abstractNumId w:val="17"/>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efaultTabStop w:val="425"/>
  <w:autoHyphenation/>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1E"/>
    <w:rsid w:val="00065B1E"/>
    <w:rsid w:val="0022135E"/>
    <w:rsid w:val="002E1DBA"/>
    <w:rsid w:val="00381F54"/>
    <w:rsid w:val="00765D5F"/>
    <w:rsid w:val="007C21D9"/>
    <w:rsid w:val="00847577"/>
    <w:rsid w:val="00A5629A"/>
    <w:rsid w:val="00AE0E04"/>
    <w:rsid w:val="00E649DB"/>
    <w:rsid w:val="00F37C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1151E"/>
  <w15:docId w15:val="{468297E1-BF49-4DEF-A083-9847566E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uiPriority w:val="2"/>
    <w:qFormat/>
    <w:pPr>
      <w:spacing w:line="264" w:lineRule="auto"/>
    </w:pPr>
    <w:rPr>
      <w:rFonts w:ascii="Calibri" w:eastAsiaTheme="minorEastAsia" w:hAnsi="Calibri"/>
      <w:color w:val="000000" w:themeColor="text1"/>
    </w:rPr>
  </w:style>
  <w:style w:type="paragraph" w:styleId="berschrift1">
    <w:name w:val="heading 1"/>
    <w:link w:val="berschrift1Zchn"/>
    <w:qFormat/>
    <w:pPr>
      <w:keepNext/>
      <w:keepLines/>
      <w:spacing w:line="264" w:lineRule="auto"/>
      <w:contextualSpacing/>
      <w:jc w:val="both"/>
      <w:outlineLvl w:val="0"/>
    </w:pPr>
    <w:rPr>
      <w:rFonts w:ascii="Calibri" w:eastAsiaTheme="majorEastAsia" w:hAnsi="Calibri" w:cs="Times New Roman (Überschriften"/>
      <w:b/>
      <w:color w:val="000000" w:themeColor="text1"/>
      <w:sz w:val="30"/>
      <w:szCs w:val="32"/>
    </w:rPr>
  </w:style>
  <w:style w:type="paragraph" w:styleId="berschrift2">
    <w:name w:val="heading 2"/>
    <w:basedOn w:val="Standard"/>
    <w:link w:val="berschrift2Zchn"/>
    <w:qFormat/>
    <w:pPr>
      <w:jc w:val="both"/>
      <w:outlineLvl w:val="1"/>
    </w:pPr>
    <w:rPr>
      <w:rFonts w:eastAsiaTheme="majorEastAsia" w:cstheme="majorBidi"/>
      <w:szCs w:val="26"/>
    </w:rPr>
  </w:style>
  <w:style w:type="paragraph" w:styleId="berschrift3">
    <w:name w:val="heading 3"/>
    <w:link w:val="berschrift3Zchn"/>
    <w:qFormat/>
    <w:pPr>
      <w:keepNext/>
      <w:keepLines/>
      <w:spacing w:line="264" w:lineRule="auto"/>
      <w:jc w:val="both"/>
      <w:outlineLvl w:val="2"/>
    </w:pPr>
    <w:rPr>
      <w:rFonts w:ascii="Calibri" w:eastAsiaTheme="majorEastAsia" w:hAnsi="Calibri" w:cstheme="majorBidi"/>
      <w:b/>
      <w:color w:val="000000" w:themeColor="text1"/>
    </w:rPr>
  </w:style>
  <w:style w:type="paragraph" w:styleId="berschrift4">
    <w:name w:val="heading 4"/>
    <w:next w:val="Flietext"/>
    <w:link w:val="berschrift4Zchn"/>
    <w:qFormat/>
    <w:pPr>
      <w:spacing w:line="264" w:lineRule="auto"/>
      <w:jc w:val="both"/>
      <w:outlineLvl w:val="3"/>
    </w:pPr>
    <w:rPr>
      <w:rFonts w:ascii="Calibri" w:eastAsiaTheme="majorEastAsia" w:hAnsi="Calibri" w:cstheme="majorBidi"/>
      <w:b/>
      <w:iCs/>
      <w:color w:val="000000" w:themeColor="text1"/>
    </w:rPr>
  </w:style>
  <w:style w:type="paragraph" w:styleId="berschrift5">
    <w:name w:val="heading 5"/>
    <w:basedOn w:val="Standard"/>
    <w:link w:val="berschrift5Zchn"/>
    <w:qFormat/>
    <w:pPr>
      <w:spacing w:before="200"/>
      <w:jc w:val="both"/>
      <w:outlineLvl w:val="4"/>
    </w:pPr>
    <w:rPr>
      <w:rFonts w:eastAsiaTheme="majorEastAsia" w:cstheme="majorBidi"/>
      <w:b/>
    </w:rPr>
  </w:style>
  <w:style w:type="paragraph" w:styleId="berschrift6">
    <w:name w:val="heading 6"/>
    <w:basedOn w:val="Standard"/>
    <w:next w:val="Standard"/>
    <w:link w:val="berschrift6Zchn"/>
    <w:uiPriority w:val="9"/>
    <w:semiHidden/>
    <w:unhideWhenUsed/>
    <w:pPr>
      <w:spacing w:before="200"/>
      <w:outlineLvl w:val="5"/>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fosParlamentspapiere">
    <w:name w:val="Infos Parlamentspapiere"/>
    <w:uiPriority w:val="1"/>
    <w:qFormat/>
    <w:pPr>
      <w:spacing w:line="264" w:lineRule="auto"/>
      <w:jc w:val="right"/>
    </w:pPr>
    <w:rPr>
      <w:rFonts w:ascii="Calibri" w:eastAsiaTheme="minorEastAsia" w:hAnsi="Calibri" w:cs="Calibri"/>
      <w:b/>
      <w:bCs/>
      <w:color w:val="000000" w:themeColor="text1"/>
      <w:sz w:val="30"/>
    </w:rPr>
  </w:style>
  <w:style w:type="character" w:customStyle="1" w:styleId="berschrift2Zchn">
    <w:name w:val="Überschrift 2 Zchn"/>
    <w:basedOn w:val="Absatz-Standardschriftart"/>
    <w:link w:val="berschrift2"/>
    <w:rPr>
      <w:rFonts w:ascii="Calibri" w:eastAsiaTheme="majorEastAsia" w:hAnsi="Calibri" w:cstheme="majorBidi"/>
      <w:color w:val="000000" w:themeColor="text1"/>
      <w:szCs w:val="26"/>
    </w:rPr>
  </w:style>
  <w:style w:type="character" w:customStyle="1" w:styleId="berschrift1Zchn">
    <w:name w:val="Überschrift 1 Zchn"/>
    <w:basedOn w:val="Absatz-Standardschriftart"/>
    <w:link w:val="berschrift1"/>
    <w:rPr>
      <w:rFonts w:ascii="Calibri" w:eastAsiaTheme="majorEastAsia" w:hAnsi="Calibri" w:cs="Times New Roman (Überschriften"/>
      <w:b/>
      <w:color w:val="000000" w:themeColor="text1"/>
      <w:sz w:val="30"/>
      <w:szCs w:val="32"/>
    </w:rPr>
  </w:style>
  <w:style w:type="character" w:customStyle="1" w:styleId="berschrift3Zchn">
    <w:name w:val="Überschrift 3 Zchn"/>
    <w:basedOn w:val="Absatz-Standardschriftart"/>
    <w:link w:val="berschrift3"/>
    <w:rPr>
      <w:rFonts w:ascii="Calibri" w:eastAsiaTheme="majorEastAsia" w:hAnsi="Calibri" w:cstheme="majorBidi"/>
      <w:b/>
      <w:color w:val="000000" w:themeColor="text1"/>
    </w:rPr>
  </w:style>
  <w:style w:type="character" w:customStyle="1" w:styleId="berschrift4Zchn">
    <w:name w:val="Überschrift 4 Zchn"/>
    <w:basedOn w:val="Absatz-Standardschriftart"/>
    <w:link w:val="berschrift4"/>
    <w:rPr>
      <w:rFonts w:ascii="Calibri" w:eastAsiaTheme="majorEastAsia" w:hAnsi="Calibri" w:cstheme="majorBidi"/>
      <w:b/>
      <w:iCs/>
      <w:color w:val="000000" w:themeColor="text1"/>
    </w:rPr>
  </w:style>
  <w:style w:type="paragraph" w:customStyle="1" w:styleId="Flietext">
    <w:name w:val="Fließtext"/>
    <w:qFormat/>
    <w:pPr>
      <w:spacing w:line="264" w:lineRule="auto"/>
      <w:jc w:val="both"/>
    </w:pPr>
    <w:rPr>
      <w:rFonts w:ascii="Calibri" w:eastAsiaTheme="minorEastAsia" w:hAnsi="Calibri" w:cs="Calibri"/>
      <w:color w:val="000000" w:themeColor="text1"/>
      <w:szCs w:val="22"/>
    </w:rPr>
  </w:style>
  <w:style w:type="paragraph" w:customStyle="1" w:styleId="Aufzhlungen">
    <w:name w:val="Aufzählungen"/>
    <w:uiPriority w:val="1"/>
    <w:qFormat/>
    <w:pPr>
      <w:numPr>
        <w:numId w:val="17"/>
      </w:numPr>
      <w:spacing w:line="264" w:lineRule="auto"/>
      <w:jc w:val="both"/>
    </w:pPr>
    <w:rPr>
      <w:rFonts w:ascii="Calibri" w:eastAsiaTheme="minorEastAsia" w:hAnsi="Calibri" w:cs="Calibri"/>
      <w:color w:val="000000" w:themeColor="text1"/>
      <w:szCs w:val="22"/>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oten">
    <w:name w:val="Fußnoten"/>
    <w:uiPriority w:val="1"/>
    <w:qFormat/>
    <w:pPr>
      <w:spacing w:line="264" w:lineRule="auto"/>
      <w:jc w:val="both"/>
    </w:pPr>
    <w:rPr>
      <w:rFonts w:ascii="Calibri" w:eastAsiaTheme="minorEastAsia" w:hAnsi="Calibri"/>
      <w:color w:val="000000" w:themeColor="text1"/>
      <w:sz w:val="20"/>
      <w:szCs w:val="16"/>
    </w:rPr>
  </w:style>
  <w:style w:type="character" w:styleId="Seitenzahl">
    <w:name w:val="page number"/>
    <w:basedOn w:val="Absatz-Standardschriftart"/>
    <w:uiPriority w:val="99"/>
    <w:semiHidden/>
    <w:unhideWhenUsed/>
    <w:rPr>
      <w:rFonts w:ascii="Calibri" w:hAnsi="Calibri"/>
      <w:sz w:val="20"/>
    </w:rPr>
  </w:style>
  <w:style w:type="paragraph" w:styleId="Sprechblasentext">
    <w:name w:val="Balloon Text"/>
    <w:basedOn w:val="Standard"/>
    <w:link w:val="SprechblasentextZchn"/>
    <w:uiPriority w:val="99"/>
    <w:semiHidden/>
    <w:unhideWhenUsed/>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Pr>
      <w:rFonts w:ascii="Times New Roman" w:eastAsiaTheme="minorEastAsia" w:hAnsi="Times New Roman" w:cs="Times New Roman"/>
      <w:sz w:val="18"/>
      <w:szCs w:val="18"/>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rFonts w:eastAsiaTheme="minorEastAsia"/>
      <w:sz w:val="20"/>
      <w:szCs w:val="20"/>
    </w:rPr>
  </w:style>
  <w:style w:type="character" w:styleId="Funotenzeichen">
    <w:name w:val="footnote reference"/>
    <w:basedOn w:val="Absatz-Standardschriftart"/>
    <w:uiPriority w:val="99"/>
    <w:semiHidden/>
    <w:unhideWhenUsed/>
    <w:rPr>
      <w:vertAlign w:val="superscript"/>
    </w:rPr>
  </w:style>
  <w:style w:type="paragraph" w:styleId="Fuzeile">
    <w:name w:val="footer"/>
    <w:basedOn w:val="Standard"/>
    <w:link w:val="FuzeileZchn"/>
    <w:uiPriority w:val="1"/>
    <w:qFormat/>
    <w:pPr>
      <w:jc w:val="both"/>
    </w:pPr>
    <w:rPr>
      <w:sz w:val="20"/>
    </w:rPr>
  </w:style>
  <w:style w:type="character" w:customStyle="1" w:styleId="FuzeileZchn">
    <w:name w:val="Fußzeile Zchn"/>
    <w:basedOn w:val="Absatz-Standardschriftart"/>
    <w:link w:val="Fuzeile"/>
    <w:uiPriority w:val="1"/>
    <w:rPr>
      <w:rFonts w:ascii="Calibri" w:eastAsiaTheme="minorEastAsia" w:hAnsi="Calibri"/>
      <w:color w:val="000000" w:themeColor="text1"/>
      <w:sz w:val="20"/>
    </w:rPr>
  </w:style>
  <w:style w:type="paragraph" w:customStyle="1" w:styleId="InfosParlamentspapiere10PtNichtFett">
    <w:name w:val="Infos Parlamentspapiere + 10 Pt. Nicht Fett"/>
    <w:basedOn w:val="InfosParlamentspapiere"/>
    <w:uiPriority w:val="1"/>
    <w:qFormat/>
    <w:pPr>
      <w:keepNext/>
      <w:keepLines/>
    </w:pPr>
    <w:rPr>
      <w:b w:val="0"/>
      <w:bCs w:val="0"/>
      <w:sz w:val="20"/>
    </w:rPr>
  </w:style>
  <w:style w:type="character" w:styleId="Hervorhebung">
    <w:name w:val="Emphasis"/>
    <w:basedOn w:val="Absatz-Standardschriftart"/>
    <w:uiPriority w:val="1"/>
    <w:rPr>
      <w:i/>
      <w:iCs/>
    </w:rPr>
  </w:style>
  <w:style w:type="character" w:customStyle="1" w:styleId="berschrift5Zchn">
    <w:name w:val="Überschrift 5 Zchn"/>
    <w:basedOn w:val="Absatz-Standardschriftart"/>
    <w:link w:val="berschrift5"/>
    <w:rPr>
      <w:rFonts w:ascii="Calibri" w:eastAsiaTheme="majorEastAsia" w:hAnsi="Calibri" w:cstheme="majorBidi"/>
      <w:b/>
      <w:color w:val="000000" w:themeColor="text1"/>
    </w:rPr>
  </w:style>
  <w:style w:type="paragraph" w:customStyle="1" w:styleId="Absender">
    <w:name w:val="Absender"/>
    <w:basedOn w:val="Standard"/>
    <w:uiPriority w:val="1"/>
    <w:qFormat/>
    <w:pPr>
      <w:jc w:val="both"/>
    </w:pPr>
    <w:rPr>
      <w:sz w:val="30"/>
    </w:rPr>
  </w:style>
  <w:style w:type="paragraph" w:customStyle="1" w:styleId="Quellenangaben">
    <w:name w:val="Quellenangaben"/>
    <w:basedOn w:val="Standard"/>
    <w:uiPriority w:val="2"/>
    <w:qFormat/>
    <w:rPr>
      <w:sz w:val="20"/>
    </w:rPr>
  </w:style>
  <w:style w:type="paragraph" w:customStyle="1" w:styleId="Formatvorlageberschrift4Tiefgestellt">
    <w:name w:val="Formatvorlage Überschrift 4 + Tiefgestellt"/>
    <w:basedOn w:val="berschrift4"/>
    <w:rPr>
      <w:bCs/>
      <w:iCs w:val="0"/>
      <w:vertAlign w:val="subscript"/>
    </w:rPr>
  </w:style>
  <w:style w:type="character" w:styleId="IntensiveHervorhebung">
    <w:name w:val="Intense Emphasis"/>
    <w:basedOn w:val="Absatz-Standardschriftart"/>
    <w:uiPriority w:val="21"/>
    <w:rPr>
      <w:b/>
      <w:bCs/>
      <w:i/>
      <w:iCs/>
      <w:color w:val="4472C4" w:themeColor="accent1"/>
    </w:rPr>
  </w:style>
  <w:style w:type="paragraph" w:customStyle="1" w:styleId="Zusatzinfo">
    <w:name w:val="Zusatzinfo"/>
    <w:basedOn w:val="InfosParlamentspapiere"/>
    <w:uiPriority w:val="1"/>
    <w:qFormat/>
    <w:rPr>
      <w:sz w:val="20"/>
    </w:rPr>
  </w:style>
  <w:style w:type="paragraph" w:styleId="Kopfzeile">
    <w:name w:val="header"/>
    <w:basedOn w:val="Standard"/>
    <w:link w:val="KopfzeileZchn"/>
    <w:uiPriority w:val="99"/>
    <w:qFormat/>
    <w:pPr>
      <w:tabs>
        <w:tab w:val="center" w:pos="4536"/>
        <w:tab w:val="right" w:pos="9072"/>
      </w:tabs>
      <w:spacing w:before="400" w:after="740"/>
    </w:pPr>
    <w:rPr>
      <w:sz w:val="20"/>
    </w:rPr>
  </w:style>
  <w:style w:type="character" w:customStyle="1" w:styleId="KopfzeileZchn">
    <w:name w:val="Kopfzeile Zchn"/>
    <w:basedOn w:val="Absatz-Standardschriftart"/>
    <w:link w:val="Kopfzeile"/>
    <w:uiPriority w:val="99"/>
    <w:rPr>
      <w:rFonts w:ascii="Calibri" w:eastAsiaTheme="minorEastAsia" w:hAnsi="Calibri"/>
      <w:color w:val="000000" w:themeColor="text1"/>
      <w:sz w:val="20"/>
    </w:rPr>
  </w:style>
  <w:style w:type="character" w:styleId="IntensiverVerweis">
    <w:name w:val="Intense Reference"/>
    <w:basedOn w:val="Absatz-Standardschriftart"/>
    <w:uiPriority w:val="32"/>
    <w:rPr>
      <w:b/>
      <w:bCs/>
      <w:smallCaps/>
      <w:color w:val="ED7D31" w:themeColor="accent2"/>
      <w:spacing w:val="5"/>
      <w:u w:val="single"/>
    </w:rPr>
  </w:style>
  <w:style w:type="paragraph" w:styleId="IntensivesZitat">
    <w:name w:val="Intense Quote"/>
    <w:basedOn w:val="Standard"/>
    <w:next w:val="Standard"/>
    <w:link w:val="IntensivesZitatZchn"/>
    <w:uiPriority w:val="30"/>
    <w:pPr>
      <w:pBdr>
        <w:bottom w:val="single" w:sz="4" w:space="4" w:color="4472C4" w:themeColor="accent1"/>
      </w:pBdr>
      <w:spacing w:before="200" w:after="280"/>
      <w:ind w:left="936" w:right="936"/>
    </w:pPr>
    <w:rPr>
      <w:b/>
      <w:bCs/>
      <w:i/>
      <w:iCs/>
      <w:color w:val="4472C4" w:themeColor="accent1"/>
    </w:rPr>
  </w:style>
  <w:style w:type="character" w:customStyle="1" w:styleId="IntensivesZitatZchn">
    <w:name w:val="Intensives Zitat Zchn"/>
    <w:basedOn w:val="Absatz-Standardschriftart"/>
    <w:link w:val="IntensivesZitat"/>
    <w:uiPriority w:val="30"/>
    <w:rPr>
      <w:rFonts w:ascii="Calibri" w:eastAsiaTheme="minorEastAsia" w:hAnsi="Calibri"/>
      <w:b/>
      <w:bCs/>
      <w:i/>
      <w:iCs/>
      <w:color w:val="4472C4" w:themeColor="accent1"/>
    </w:rPr>
  </w:style>
  <w:style w:type="character" w:styleId="SchwacherVerweis">
    <w:name w:val="Subtle Reference"/>
    <w:basedOn w:val="Absatz-Standardschriftart"/>
    <w:uiPriority w:val="31"/>
    <w:rPr>
      <w:smallCaps/>
      <w:color w:val="ED7D31" w:themeColor="accent2"/>
      <w:u w:val="single"/>
    </w:rPr>
  </w:style>
  <w:style w:type="paragraph" w:styleId="Untertitel">
    <w:name w:val="Subtitle"/>
    <w:basedOn w:val="Standard"/>
    <w:next w:val="Standard"/>
    <w:link w:val="UntertitelZchn"/>
    <w:uiPriority w:val="11"/>
    <w:pPr>
      <w:numPr>
        <w:ilvl w:val="1"/>
      </w:numPr>
    </w:pPr>
    <w:rPr>
      <w:rFonts w:asciiTheme="majorHAnsi" w:eastAsiaTheme="majorEastAsia" w:hAnsiTheme="majorHAnsi" w:cstheme="majorBidi"/>
      <w:i/>
      <w:iCs/>
      <w:color w:val="4472C4" w:themeColor="accent1"/>
      <w:spacing w:val="15"/>
    </w:rPr>
  </w:style>
  <w:style w:type="character" w:customStyle="1" w:styleId="UntertitelZchn">
    <w:name w:val="Untertitel Zchn"/>
    <w:basedOn w:val="Absatz-Standardschriftart"/>
    <w:link w:val="Untertitel"/>
    <w:uiPriority w:val="11"/>
    <w:rPr>
      <w:rFonts w:asciiTheme="majorHAnsi" w:eastAsiaTheme="majorEastAsia" w:hAnsiTheme="majorHAnsi" w:cstheme="majorBidi"/>
      <w:i/>
      <w:iCs/>
      <w:color w:val="4472C4" w:themeColor="accent1"/>
      <w:spacing w:val="15"/>
    </w:rPr>
  </w:style>
  <w:style w:type="character" w:styleId="SchwacheHervorhebung">
    <w:name w:val="Subtle Emphasis"/>
    <w:basedOn w:val="Absatz-Standardschriftart"/>
    <w:uiPriority w:val="19"/>
    <w:rPr>
      <w:i/>
      <w:iCs/>
      <w:color w:val="808080" w:themeColor="text1" w:themeTint="7F"/>
    </w:rPr>
  </w:style>
  <w:style w:type="paragraph" w:styleId="Titel">
    <w:name w:val="Title"/>
    <w:basedOn w:val="Standard"/>
    <w:next w:val="Standard"/>
    <w:link w:val="TitelZchn"/>
    <w:uiPriority w:val="1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Pr>
      <w:rFonts w:asciiTheme="majorHAnsi" w:eastAsiaTheme="majorEastAsia" w:hAnsiTheme="majorHAnsi" w:cstheme="majorBidi"/>
      <w:color w:val="323E4F" w:themeColor="text2" w:themeShade="BF"/>
      <w:spacing w:val="5"/>
      <w:kern w:val="28"/>
      <w:sz w:val="52"/>
      <w:szCs w:val="52"/>
    </w:rPr>
  </w:style>
  <w:style w:type="paragraph" w:customStyle="1" w:styleId="Hervorhebungen">
    <w:name w:val="Hervorhebungen"/>
    <w:basedOn w:val="Standard"/>
    <w:uiPriority w:val="1"/>
    <w:qFormat/>
    <w:pPr>
      <w:jc w:val="both"/>
    </w:pPr>
    <w:rPr>
      <w:b/>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1F3763" w:themeColor="accent1" w:themeShade="7F"/>
    </w:rPr>
  </w:style>
  <w:style w:type="character" w:styleId="Buchtitel">
    <w:name w:val="Book Title"/>
    <w:basedOn w:val="Absatz-Standardschriftart"/>
    <w:uiPriority w:val="33"/>
    <w:rPr>
      <w:b/>
      <w:bCs/>
      <w:smallCaps/>
      <w:spacing w:val="5"/>
    </w:rPr>
  </w:style>
  <w:style w:type="paragraph" w:styleId="Listenabsatz">
    <w:name w:val="List Paragraph"/>
    <w:basedOn w:val="Standard"/>
    <w:uiPriority w:val="34"/>
    <w:pPr>
      <w:ind w:left="720"/>
      <w:contextualSpacing/>
    </w:pPr>
  </w:style>
  <w:style w:type="character" w:styleId="Fett">
    <w:name w:val="Strong"/>
    <w:basedOn w:val="Absatz-Standardschriftart"/>
    <w:uiPriority w:val="22"/>
    <w:rPr>
      <w:b/>
      <w:bCs/>
    </w:rPr>
  </w:style>
  <w:style w:type="paragraph" w:styleId="Zitat">
    <w:name w:val="Quote"/>
    <w:basedOn w:val="Standard"/>
    <w:next w:val="Standard"/>
    <w:link w:val="ZitatZchn"/>
    <w:uiPriority w:val="29"/>
    <w:rPr>
      <w:i/>
      <w:iCs/>
    </w:rPr>
  </w:style>
  <w:style w:type="character" w:customStyle="1" w:styleId="ZitatZchn">
    <w:name w:val="Zitat Zchn"/>
    <w:basedOn w:val="Absatz-Standardschriftart"/>
    <w:link w:val="Zitat"/>
    <w:uiPriority w:val="29"/>
    <w:rPr>
      <w:rFonts w:ascii="Calibri" w:eastAsiaTheme="minorEastAsia" w:hAnsi="Calibri"/>
      <w:i/>
      <w:iCs/>
      <w:color w:val="000000" w:themeColor="text1"/>
    </w:rPr>
  </w:style>
  <w:style w:type="numbering" w:customStyle="1" w:styleId="AufzhlungLT">
    <w:name w:val="Aufzählung_LT"/>
    <w:basedOn w:val="KeineListe"/>
    <w:uiPriority w:val="99"/>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53991-7100-4ECC-9398-205A13F8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2247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Antrag</vt:lpstr>
    </vt:vector>
  </TitlesOfParts>
  <Company>Landtag von Sachsen-Anhalt</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subject>Drs. 8/</dc:subject>
  <dc:creator>Anja Krimmling-Schoeffler</dc:creator>
  <cp:lastModifiedBy>Anja Krimmling-Schoeffler</cp:lastModifiedBy>
  <cp:revision>6</cp:revision>
  <cp:lastPrinted>2021-01-29T11:57:00Z</cp:lastPrinted>
  <dcterms:created xsi:type="dcterms:W3CDTF">2024-05-21T08:04:00Z</dcterms:created>
  <dcterms:modified xsi:type="dcterms:W3CDTF">2024-05-21T09:26:00Z</dcterms:modified>
</cp:coreProperties>
</file>